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01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автономного округа-Югры, 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автон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омного округа-Югры </w:t>
      </w:r>
      <w:r>
        <w:rPr>
          <w:rStyle w:val="cat-FIOgrp-30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защитника лица, привлекаемого к административной ответственности </w:t>
      </w:r>
      <w:r>
        <w:rPr>
          <w:rStyle w:val="cat-FIOgrp-31rplc-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</w:t>
      </w:r>
      <w:r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937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2803/2025</w:t>
      </w:r>
      <w:r>
        <w:rPr>
          <w:rFonts w:ascii="Times New Roman" w:eastAsia="Times New Roman" w:hAnsi="Times New Roman" w:cs="Times New Roman"/>
          <w:sz w:val="27"/>
          <w:szCs w:val="27"/>
        </w:rPr>
        <w:t>, возбужденное по статье 19.7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оссийской 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z w:val="27"/>
          <w:szCs w:val="27"/>
        </w:rPr>
        <w:t>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отношении юридического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Департамента недропользования и природных ресурсов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35rplc-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Fonts w:ascii="Times New Roman" w:eastAsia="Times New Roman" w:hAnsi="Times New Roman" w:cs="Times New Roman"/>
          <w:sz w:val="27"/>
          <w:szCs w:val="27"/>
        </w:rPr>
        <w:t>1028600511720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2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зд.2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сведений о привлечении к административной ответственности не представлено, 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>Департамент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недропользования и природных ресурсов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по адресу: </w:t>
      </w:r>
      <w:r>
        <w:rPr>
          <w:rStyle w:val="cat-Addressgrp-2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зд.2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>06.06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представило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 лесного хозяйства по Уральскому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исполнении пунктов 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 предписания Рослесхоза от 03.10.</w:t>
      </w:r>
      <w:r>
        <w:rPr>
          <w:rFonts w:ascii="Times New Roman" w:eastAsia="Times New Roman" w:hAnsi="Times New Roman" w:cs="Times New Roman"/>
          <w:sz w:val="27"/>
          <w:szCs w:val="27"/>
        </w:rPr>
        <w:t>2024 года № 12/2024-ВП</w:t>
      </w:r>
      <w:r>
        <w:rPr>
          <w:rFonts w:ascii="Times New Roman" w:eastAsia="Times New Roman" w:hAnsi="Times New Roman" w:cs="Times New Roman"/>
          <w:sz w:val="27"/>
          <w:szCs w:val="27"/>
        </w:rPr>
        <w:t>, чем 07.06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совершило административное правонарушение, предусмотренное ст.19.7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лица,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привлекаемого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ративной ответственности </w:t>
      </w:r>
      <w:r>
        <w:rPr>
          <w:rStyle w:val="cat-FIOgrp-32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вину не признала Департамента, указав, что отчет об исполнении пунктов 1, 20, 21, 23 предписания от 03.10.2024 </w:t>
      </w:r>
      <w:r>
        <w:rPr>
          <w:rFonts w:ascii="Times New Roman" w:eastAsia="Times New Roman" w:hAnsi="Times New Roman" w:cs="Times New Roman"/>
          <w:sz w:val="27"/>
          <w:szCs w:val="27"/>
        </w:rPr>
        <w:t>направлен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доставлен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06.06.2025 в 16:28 по системе межведомственного электронного оборота, что подтверждается реестром из программы. Однако, при отправке сообщения возникла техническая ошибка, которую </w:t>
      </w:r>
      <w:r>
        <w:rPr>
          <w:rFonts w:ascii="Times New Roman" w:eastAsia="Times New Roman" w:hAnsi="Times New Roman" w:cs="Times New Roman"/>
          <w:sz w:val="27"/>
          <w:szCs w:val="27"/>
        </w:rPr>
        <w:t>при отправке отчета невозможно отследить, поскольку в программе указано, что сообщение отправлено. Ошибку увидеть и устранить может только служба технической поддержки. При этом, вручную никакие данные невозможно внести либо изменить в программе. 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направлен повторно и доставлен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11.06.2025. Сослалась на то, что срок по пункту 22 предписания от 03.10.2024 </w:t>
      </w:r>
      <w:r>
        <w:rPr>
          <w:rFonts w:ascii="Times New Roman" w:eastAsia="Times New Roman" w:hAnsi="Times New Roman" w:cs="Times New Roman"/>
          <w:sz w:val="27"/>
          <w:szCs w:val="27"/>
        </w:rPr>
        <w:t>согласован Департаментом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недропользования и природных ресурсов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Департаментом лесного хозяйства по Уральскому федеральному округу, срок исполнения по которому определен «постоянно».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зучив письменные материалы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 </w:t>
      </w:r>
      <w:r>
        <w:rPr>
          <w:rStyle w:val="cat-FIOgrp-32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предусмотрена административная ответственность за непредставление или </w:t>
      </w:r>
      <w:r>
        <w:rPr>
          <w:rFonts w:ascii="Times New Roman" w:eastAsia="Times New Roman" w:hAnsi="Times New Roman" w:cs="Times New Roman"/>
          <w:sz w:val="27"/>
          <w:szCs w:val="27"/>
        </w:rPr>
        <w:t>несвоевременное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</w:t>
      </w:r>
      <w:r>
        <w:rPr>
          <w:rFonts w:ascii="Times New Roman" w:eastAsia="Times New Roman" w:hAnsi="Times New Roman" w:cs="Times New Roman"/>
          <w:sz w:val="27"/>
          <w:szCs w:val="27"/>
        </w:rPr>
        <w:t>законом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 w:line="298" w:lineRule="atLeast"/>
        <w:ind w:righ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Приказом Министерства природных ресурсов и экологии РФ от 03 июля 2019 г. № 434 утвержден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 (далее - Порядок № 434 от 03 июля 2019 г.).</w:t>
      </w:r>
    </w:p>
    <w:p>
      <w:pPr>
        <w:spacing w:before="0" w:after="0" w:line="298" w:lineRule="atLeast"/>
        <w:ind w:righ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пункту 47.1 Порядка № 434 от 03 июля 2019 г. подконтрольные органы не позднее 5 рабочих дней со дня истечения сроков исполнения пунктов предписания направляют информацию, копии материалов (документов) и сведения об их выполнении в соответствующий территориальный орган Рослесхоза.</w:t>
      </w:r>
    </w:p>
    <w:p>
      <w:pPr>
        <w:spacing w:before="0" w:after="0" w:line="298" w:lineRule="atLeast"/>
        <w:ind w:righ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2 и подпункту 2 пункта 7 Положения о Департаменте лесного хозяйства по Уральскому федеральному округу, утверждённого приказом Рослесхоза от 19 июня 2015 г. № 198 Департамент лесного хозяйства по Уральскому федеральному округу является территориальным органом Рослесхоза, осуществляющим контроль исполнения органами государственной власти субъектов Российской Федерации переданных полномочий в области лесных отношений, действующий на </w:t>
      </w:r>
      <w:r>
        <w:rPr>
          <w:rStyle w:val="cat-Addressgrp-5rplc-2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округа. Таким образом, контроль за исполнением пунктов 1,20,21,22,23 предписания Рослесхоза от 03 октября 2024 г. № 12/2024-ВП осуществляет Департамент лесного хозяйства по Уральскому федеральному округу.</w:t>
      </w:r>
    </w:p>
    <w:p>
      <w:pPr>
        <w:spacing w:before="0" w:after="0" w:line="298" w:lineRule="atLeast"/>
        <w:ind w:righ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191 Гражданского кодекса Российской Федерации,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>
      <w:pPr>
        <w:spacing w:before="0" w:after="0" w:line="298" w:lineRule="atLeast"/>
        <w:ind w:righ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обязано представить в Департамент лесного хозяйства по Уральскому федеральному округу информацию, копии материалов (документов) и сведения об исполнении пунктов 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 предписания Рослесхоза от 03 октября 2024 г. № 12/2024-ВП, не позднее 5 рабочих дней со дня истечения срока исполнения указанного пункта пре</w:t>
      </w:r>
      <w:r>
        <w:rPr>
          <w:rFonts w:ascii="Times New Roman" w:eastAsia="Times New Roman" w:hAnsi="Times New Roman" w:cs="Times New Roman"/>
          <w:sz w:val="27"/>
          <w:szCs w:val="27"/>
        </w:rPr>
        <w:t>дписания (01 июня 2025 г.), то есть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06 июня 2025 года.</w:t>
      </w:r>
    </w:p>
    <w:p>
      <w:pPr>
        <w:spacing w:before="0" w:after="0" w:line="298" w:lineRule="atLeast"/>
        <w:ind w:righ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 лесного хозяйства по Уральскому федеральному округу письмом от 30 мая 2025 г. № 02/1752 в адрес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также уведомил о необходимости предоставления информации и копий материалов по исполнению пунктов предп</w:t>
      </w:r>
      <w:r>
        <w:rPr>
          <w:rFonts w:ascii="Times New Roman" w:eastAsia="Times New Roman" w:hAnsi="Times New Roman" w:cs="Times New Roman"/>
          <w:sz w:val="27"/>
          <w:szCs w:val="27"/>
        </w:rPr>
        <w:t>исания в срок до 06 июня 2025 года.</w:t>
      </w:r>
    </w:p>
    <w:p>
      <w:pPr>
        <w:spacing w:before="0" w:after="0" w:line="298" w:lineRule="atLeast"/>
        <w:ind w:right="4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Копии материалов (документов) по исполнению пунктов 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 предписания Рослесхоза от 03 октября 2024 г. № 12/2024-ВП в Департамент лесного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хозяйства по Уральскому федеральному </w:t>
      </w:r>
      <w:r>
        <w:rPr>
          <w:rStyle w:val="cat-Addressgrp-6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представлены письмом № 12-исх-10878 от 06 июня 2025 г., направленном электронной почтой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только 11 июня 2025 года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исполнению пунктов 22,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 указанного предписания представлены письмом № 12-исх-11320 от 17 июня 2025 г., направленном электронной почтой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только 17 июня 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 есть </w:t>
      </w:r>
      <w:r>
        <w:rPr>
          <w:rFonts w:ascii="Times New Roman" w:eastAsia="Times New Roman" w:hAnsi="Times New Roman" w:cs="Times New Roman"/>
          <w:sz w:val="27"/>
          <w:szCs w:val="27"/>
        </w:rPr>
        <w:t>с нарушением установленного срока.</w:t>
      </w:r>
    </w:p>
    <w:p>
      <w:pPr>
        <w:spacing w:before="0" w:after="0" w:line="298" w:lineRule="atLeast"/>
        <w:ind w:left="40" w:firstLine="70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несвоевременное представление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информации и копий материалов (документов) об исполнении пунктов 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 предписания Рослесхоза от 03 октября 2024 г. </w:t>
      </w:r>
      <w:r>
        <w:rPr>
          <w:rFonts w:ascii="Times New Roman" w:eastAsia="Times New Roman" w:hAnsi="Times New Roman" w:cs="Times New Roman"/>
          <w:sz w:val="27"/>
          <w:szCs w:val="27"/>
        </w:rPr>
        <w:t>№ 12/2024-ВП в Департамент лесного хозяйства по Уральскому федеральному округу является виновным противоправным бездействием, поскольку у юридического лица имелась реальная возможность своевременно исполнить возложенную на него обязанность, но им не были предприняты все зависящие меры по её испо</w:t>
      </w:r>
      <w:r>
        <w:rPr>
          <w:rFonts w:ascii="Times New Roman" w:eastAsia="Times New Roman" w:hAnsi="Times New Roman" w:cs="Times New Roman"/>
          <w:sz w:val="27"/>
          <w:szCs w:val="27"/>
        </w:rPr>
        <w:t>лнению,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является нарушением </w:t>
      </w:r>
      <w:r>
        <w:rPr>
          <w:rFonts w:ascii="Times New Roman" w:eastAsia="Times New Roman" w:hAnsi="Times New Roman" w:cs="Times New Roman"/>
          <w:sz w:val="27"/>
          <w:szCs w:val="27"/>
        </w:rPr>
        <w:t>пункта 47.1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отношений, утвержденного приказом Министерства природных ресурсов и экологии РФ от 03 июля 2019 г. № 434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судебного заседания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предписание Рослес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хоза № 12/2024-ВП направлено 07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октября 2024 года в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системе </w:t>
      </w:r>
      <w:r>
        <w:rPr>
          <w:rFonts w:ascii="Times New Roman" w:eastAsia="Times New Roman" w:hAnsi="Times New Roman" w:cs="Times New Roman"/>
          <w:sz w:val="27"/>
          <w:szCs w:val="27"/>
        </w:rPr>
        <w:t>межведомственного электронного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документооборота – регистрационный номер входящего письма 01-ВХ-28941 от 07 октября 2024 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Кроме того, факт получения указанного предписания подтверждается ответным сопроводительны</w:t>
      </w:r>
      <w:r>
        <w:rPr>
          <w:rFonts w:ascii="Times New Roman" w:eastAsia="Times New Roman" w:hAnsi="Times New Roman" w:cs="Times New Roman"/>
          <w:sz w:val="27"/>
          <w:szCs w:val="27"/>
        </w:rPr>
        <w:t>м письмом от 30 октября 2024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12-Исх-24290 о направлении Плана мероприятий по устранению нарушений, указанных в предписании Рослесхоза от 03 октября 2024 г. № 12/2024-ВП, утвержденного приказом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25 октября 2024 г. № 12-П-3728. Согласно указанному предписанию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необходимо принять надлежащие и своевременные меры по исполнению пунктов предписания в установленные сроки, а также направить информацию и копии соответствующих материалов (документов) о выполнении пунктов предписания в Департамент лесного хозяйства по Уральскому федеральному округу не позднее 5 рабочих дней со дня истечения сроков исполнения соответствующих пунктов предписания. Срок исполнения пунктов 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 предписания Рослесхоза № 12/2024-ВП установлен до 01.06.2025.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Вместе с тем,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истребуемые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сведения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обстоятельства подтверждаются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86-ОИВ-1//2025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03.10.</w:t>
      </w:r>
      <w:r>
        <w:rPr>
          <w:rFonts w:ascii="Times New Roman" w:eastAsia="Times New Roman" w:hAnsi="Times New Roman" w:cs="Times New Roman"/>
          <w:sz w:val="27"/>
          <w:szCs w:val="27"/>
        </w:rPr>
        <w:t>2024 г. № 12/2024-ВП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ч.2 ст.2.1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нашла своё подтверждение в ходе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Бездействие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орган, осуществляющий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контроль (</w:t>
      </w:r>
      <w:r>
        <w:rPr>
          <w:rFonts w:ascii="Times New Roman" w:eastAsia="Times New Roman" w:hAnsi="Times New Roman" w:cs="Times New Roman"/>
          <w:sz w:val="27"/>
          <w:szCs w:val="27"/>
        </w:rPr>
        <w:t>надзор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сведений (информации), представление которых необходимо для осуществления этим органом его законной деятельности.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Доводы защитника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предоставлении сведений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исполнении пунктов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предписания Рослесхоза от 03.10.</w:t>
      </w:r>
      <w:r>
        <w:rPr>
          <w:rFonts w:ascii="Times New Roman" w:eastAsia="Times New Roman" w:hAnsi="Times New Roman" w:cs="Times New Roman"/>
          <w:sz w:val="27"/>
          <w:szCs w:val="27"/>
        </w:rPr>
        <w:t>2024 года № 12/2024-ВП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отклоняются мировым судьей, поскольку опровергаются материалами дела, 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ним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 критически и расценивает, как способ уйти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содеянное.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6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учитывает характер совершенного им административного правонарушения, имущественное и финансов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положение юридического лица,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обстоятельства, смягчающие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отягчающие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7"/>
          <w:szCs w:val="27"/>
        </w:rPr>
        <w:t>Депнедра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природных ресурсов </w:t>
      </w:r>
      <w:r>
        <w:rPr>
          <w:rStyle w:val="cat-Addressgrp-3rplc-6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направлено против порядка управления. К административной ответственности в указанной сфере юридическое лицо не привлекалось.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Смягчающих и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обстоятельств, мировым судьей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7"/>
          <w:szCs w:val="27"/>
        </w:rPr>
        <w:t>23.1, 29.10 Кодекса Российской Федерации, мировой судья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юридическое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 </w:t>
      </w:r>
      <w:r>
        <w:rPr>
          <w:rFonts w:ascii="Times New Roman" w:eastAsia="Times New Roman" w:hAnsi="Times New Roman" w:cs="Times New Roman"/>
          <w:sz w:val="27"/>
          <w:szCs w:val="27"/>
        </w:rPr>
        <w:t>недропользования и природных ресурсов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статьей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19.7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оссийской 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z w:val="27"/>
          <w:szCs w:val="27"/>
        </w:rPr>
        <w:t>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предупреждения.</w:t>
      </w:r>
    </w:p>
    <w:p>
      <w:pPr>
        <w:spacing w:before="0" w:after="0"/>
        <w:ind w:right="140"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7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3rplc-6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3rplc-6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33rplc-65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7725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30rplc-4">
    <w:name w:val="cat-FIO grp-30 rplc-4"/>
    <w:basedOn w:val="DefaultParagraphFont"/>
  </w:style>
  <w:style w:type="character" w:customStyle="1" w:styleId="cat-FIOgrp-31rplc-5">
    <w:name w:val="cat-FIO grp-3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PhoneNumbergrp-35rplc-7">
    <w:name w:val="cat-PhoneNumber grp-3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32rplc-14">
    <w:name w:val="cat-FIO grp-32 rplc-14"/>
    <w:basedOn w:val="DefaultParagraphFont"/>
  </w:style>
  <w:style w:type="character" w:customStyle="1" w:styleId="cat-FIOgrp-32rplc-20">
    <w:name w:val="cat-FIO grp-32 rplc-20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Addressgrp-3rplc-45">
    <w:name w:val="cat-Address grp-3 rplc-45"/>
    <w:basedOn w:val="DefaultParagraphFont"/>
  </w:style>
  <w:style w:type="character" w:customStyle="1" w:styleId="cat-Addressgrp-3rplc-49">
    <w:name w:val="cat-Address grp-3 rplc-49"/>
    <w:basedOn w:val="DefaultParagraphFont"/>
  </w:style>
  <w:style w:type="character" w:customStyle="1" w:styleId="cat-Addressgrp-3rplc-51">
    <w:name w:val="cat-Address grp-3 rplc-51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Addressgrp-3rplc-56">
    <w:name w:val="cat-Address grp-3 rplc-56"/>
    <w:basedOn w:val="DefaultParagraphFont"/>
  </w:style>
  <w:style w:type="character" w:customStyle="1" w:styleId="cat-Addressgrp-3rplc-57">
    <w:name w:val="cat-Address grp-3 rplc-57"/>
    <w:basedOn w:val="DefaultParagraphFont"/>
  </w:style>
  <w:style w:type="character" w:customStyle="1" w:styleId="cat-Addressgrp-3rplc-58">
    <w:name w:val="cat-Address grp-3 rplc-58"/>
    <w:basedOn w:val="DefaultParagraphFont"/>
  </w:style>
  <w:style w:type="character" w:customStyle="1" w:styleId="cat-Addressgrp-3rplc-60">
    <w:name w:val="cat-Address grp-3 rplc-60"/>
    <w:basedOn w:val="DefaultParagraphFont"/>
  </w:style>
  <w:style w:type="character" w:customStyle="1" w:styleId="cat-Addressgrp-3rplc-61">
    <w:name w:val="cat-Address grp-3 rplc-61"/>
    <w:basedOn w:val="DefaultParagraphFont"/>
  </w:style>
  <w:style w:type="character" w:customStyle="1" w:styleId="cat-Addressgrp-7rplc-62">
    <w:name w:val="cat-Address grp-7 rplc-62"/>
    <w:basedOn w:val="DefaultParagraphFont"/>
  </w:style>
  <w:style w:type="character" w:customStyle="1" w:styleId="cat-Addressgrp-3rplc-63">
    <w:name w:val="cat-Address grp-3 rplc-63"/>
    <w:basedOn w:val="DefaultParagraphFont"/>
  </w:style>
  <w:style w:type="character" w:customStyle="1" w:styleId="cat-FIOgrp-33rplc-64">
    <w:name w:val="cat-FIO grp-33 rplc-64"/>
    <w:basedOn w:val="DefaultParagraphFont"/>
  </w:style>
  <w:style w:type="character" w:customStyle="1" w:styleId="cat-FIOgrp-33rplc-65">
    <w:name w:val="cat-FIO grp-3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5A16-0EB5-47B0-8C28-F6EC5DB65B2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